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C1C31" w14:textId="77777777" w:rsidR="006A29BF" w:rsidRDefault="00D211EB">
      <w:pPr>
        <w:rPr>
          <w:b/>
          <w:sz w:val="22"/>
          <w:szCs w:val="22"/>
        </w:rPr>
      </w:pPr>
      <w:r>
        <w:rPr>
          <w:b/>
          <w:sz w:val="22"/>
          <w:szCs w:val="22"/>
        </w:rPr>
        <w:t>Triathlon Ireland Safeguarding Risk Assessment Template for Juniors (15-17) in Adult races.</w:t>
      </w:r>
    </w:p>
    <w:tbl>
      <w:tblPr>
        <w:tblStyle w:val="a"/>
        <w:tblW w:w="1396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9"/>
        <w:gridCol w:w="885"/>
        <w:gridCol w:w="3945"/>
        <w:gridCol w:w="2576"/>
        <w:gridCol w:w="2576"/>
      </w:tblGrid>
      <w:tr w:rsidR="006A29BF" w14:paraId="5D36B540" w14:textId="77777777"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430A" w14:textId="77777777" w:rsidR="006A29BF" w:rsidRDefault="00D211EB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Risk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BC2A" w14:textId="77777777" w:rsidR="006A29BF" w:rsidRDefault="00D211EB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Level 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94F88" w14:textId="77777777" w:rsidR="006A29BF" w:rsidRDefault="00D211EB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2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D7B1" w14:textId="77777777" w:rsidR="006A29BF" w:rsidRDefault="00D211EB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Required policy/document</w:t>
            </w:r>
          </w:p>
        </w:tc>
        <w:tc>
          <w:tcPr>
            <w:tcW w:w="2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7F7C" w14:textId="77777777" w:rsidR="006A29BF" w:rsidRDefault="00D211EB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Responsibility to action</w:t>
            </w:r>
          </w:p>
        </w:tc>
      </w:tr>
      <w:tr w:rsidR="006A29BF" w14:paraId="02EAC5E4" w14:textId="77777777"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4462C" w14:textId="77777777" w:rsidR="006A29BF" w:rsidRDefault="00D211EB">
            <w:pPr>
              <w:widowControl w:val="0"/>
              <w:spacing w:before="0" w:after="0" w:line="240" w:lineRule="auto"/>
            </w:pPr>
            <w:r>
              <w:t>Inappropriate photos taken of junior athletes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4CB5E" w14:textId="77777777" w:rsidR="006A29BF" w:rsidRDefault="00D211EB">
            <w:pPr>
              <w:widowControl w:val="0"/>
              <w:spacing w:before="0" w:after="0" w:line="240" w:lineRule="auto"/>
            </w:pPr>
            <w:r>
              <w:t>L/M/H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B6A2" w14:textId="77777777" w:rsidR="006A29BF" w:rsidRDefault="00D211EB">
            <w:pPr>
              <w:widowControl w:val="0"/>
              <w:spacing w:before="0" w:after="0" w:line="240" w:lineRule="auto"/>
            </w:pPr>
            <w:r>
              <w:t>Distribute or direct people to TI photography guidelines. Ask official photographers (media/club etc) to sign in so contact can be made if necessary.</w:t>
            </w:r>
          </w:p>
        </w:tc>
        <w:tc>
          <w:tcPr>
            <w:tcW w:w="2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D2464" w14:textId="77777777" w:rsidR="006A29BF" w:rsidRDefault="00D211EB">
            <w:pPr>
              <w:widowControl w:val="0"/>
              <w:spacing w:before="0" w:after="0" w:line="240" w:lineRule="auto"/>
            </w:pPr>
            <w:r>
              <w:t>TI Photography Guidelines.</w:t>
            </w:r>
          </w:p>
          <w:p w14:paraId="0A79EB5F" w14:textId="77777777" w:rsidR="006A29BF" w:rsidRDefault="00D211EB">
            <w:pPr>
              <w:widowControl w:val="0"/>
              <w:spacing w:before="0" w:after="0" w:line="240" w:lineRule="auto"/>
            </w:pPr>
            <w:r>
              <w:t>Email template provided in EMP.</w:t>
            </w:r>
          </w:p>
        </w:tc>
        <w:tc>
          <w:tcPr>
            <w:tcW w:w="2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433A" w14:textId="77777777" w:rsidR="006A29BF" w:rsidRDefault="00D211EB">
            <w:pPr>
              <w:widowControl w:val="0"/>
              <w:spacing w:before="0" w:after="0" w:line="240" w:lineRule="auto"/>
            </w:pPr>
            <w:r>
              <w:t>Designated Safeguard Person</w:t>
            </w:r>
          </w:p>
        </w:tc>
      </w:tr>
      <w:tr w:rsidR="006A29BF" w14:paraId="4F67DDBC" w14:textId="77777777"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69B1" w14:textId="77777777" w:rsidR="006A29BF" w:rsidRDefault="00D211EB">
            <w:pPr>
              <w:widowControl w:val="0"/>
              <w:spacing w:before="0" w:after="0" w:line="240" w:lineRule="auto"/>
            </w:pPr>
            <w:r>
              <w:t>Juniors alone in changing rooms with adults or the public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55B6" w14:textId="77777777" w:rsidR="006A29BF" w:rsidRDefault="00D211EB">
            <w:pPr>
              <w:widowControl w:val="0"/>
              <w:spacing w:before="0" w:after="0" w:line="240" w:lineRule="auto"/>
            </w:pPr>
            <w:r>
              <w:t>L/M/H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CB9F" w14:textId="77777777" w:rsidR="006A29BF" w:rsidRDefault="00D211EB">
            <w:pPr>
              <w:widowControl w:val="0"/>
              <w:spacing w:before="0" w:after="0" w:line="240" w:lineRule="auto"/>
            </w:pPr>
            <w:r>
              <w:t xml:space="preserve">Alert parents/guardians (via email) to mixed changing facility and let them know it will not be supervised. Ask them to accompany juniors while in changing areas. </w:t>
            </w:r>
          </w:p>
        </w:tc>
        <w:tc>
          <w:tcPr>
            <w:tcW w:w="2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6EBD" w14:textId="77777777" w:rsidR="006A29BF" w:rsidRDefault="00D211EB">
            <w:pPr>
              <w:widowControl w:val="0"/>
              <w:spacing w:before="0" w:after="0" w:line="240" w:lineRule="auto"/>
            </w:pPr>
            <w:r>
              <w:t>Email template provided in EMP.</w:t>
            </w:r>
          </w:p>
        </w:tc>
        <w:tc>
          <w:tcPr>
            <w:tcW w:w="2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E0DE6" w14:textId="77777777" w:rsidR="006A29BF" w:rsidRDefault="00D211EB">
            <w:pPr>
              <w:widowControl w:val="0"/>
              <w:spacing w:before="0" w:after="0" w:line="240" w:lineRule="auto"/>
            </w:pPr>
            <w:r>
              <w:t>Designated Safeguard Person</w:t>
            </w:r>
          </w:p>
        </w:tc>
      </w:tr>
      <w:tr w:rsidR="006A29BF" w14:paraId="17AF9C99" w14:textId="77777777"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6371" w14:textId="77777777" w:rsidR="006A29BF" w:rsidRDefault="00D211EB">
            <w:pPr>
              <w:widowControl w:val="0"/>
              <w:spacing w:before="0" w:after="0" w:line="240" w:lineRule="auto"/>
            </w:pPr>
            <w:r>
              <w:t>Junior needing to pull out of race and alone on course with a marshall.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C056" w14:textId="77777777" w:rsidR="006A29BF" w:rsidRDefault="00D211EB">
            <w:pPr>
              <w:widowControl w:val="0"/>
              <w:spacing w:before="0" w:after="0" w:line="240" w:lineRule="auto"/>
            </w:pPr>
            <w:r>
              <w:t>L/M/H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9EB9" w14:textId="1A9D8AE9" w:rsidR="006A29BF" w:rsidRDefault="00D211EB">
            <w:pPr>
              <w:widowControl w:val="0"/>
              <w:spacing w:before="0" w:after="0" w:line="240" w:lineRule="auto"/>
            </w:pPr>
            <w:r>
              <w:t>It</w:t>
            </w:r>
            <w:bookmarkStart w:id="0" w:name="_GoBack"/>
            <w:bookmarkEnd w:id="0"/>
            <w:r>
              <w:t xml:space="preserve"> is possible to get </w:t>
            </w:r>
            <w:proofErr w:type="spellStart"/>
            <w:r>
              <w:t>marshalls</w:t>
            </w:r>
            <w:proofErr w:type="spellEnd"/>
            <w:r>
              <w:t xml:space="preserve"> vetted but not expected</w:t>
            </w:r>
            <w:r w:rsidR="00E832EA">
              <w:t xml:space="preserve"> if marshalling as a </w:t>
            </w:r>
            <w:r w:rsidR="00E832EA" w:rsidRPr="00D274D0">
              <w:rPr>
                <w:b/>
              </w:rPr>
              <w:t>once off</w:t>
            </w:r>
            <w:r>
              <w:t>. The childs needs should be put first if they are injured or in need of medical attention, even if this means transporting them alone by car</w:t>
            </w:r>
            <w:r w:rsidR="00D274D0">
              <w:t>, but only</w:t>
            </w:r>
            <w:r>
              <w:t xml:space="preserve"> if medically necessary. Marshalls should have the DP contact number so they can be alerted to the situation. </w:t>
            </w:r>
          </w:p>
          <w:p w14:paraId="591E063B" w14:textId="77777777" w:rsidR="006A29BF" w:rsidRDefault="00D211EB">
            <w:pPr>
              <w:widowControl w:val="0"/>
              <w:spacing w:before="0" w:after="0" w:line="240" w:lineRule="auto"/>
            </w:pPr>
            <w:r>
              <w:t>DP to contact parent/guardian.</w:t>
            </w:r>
          </w:p>
        </w:tc>
        <w:tc>
          <w:tcPr>
            <w:tcW w:w="2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FC44" w14:textId="77777777" w:rsidR="006A29BF" w:rsidRDefault="00D211EB">
            <w:pPr>
              <w:widowControl w:val="0"/>
              <w:spacing w:before="0" w:after="0" w:line="240" w:lineRule="auto"/>
            </w:pPr>
            <w:r>
              <w:t>Incident Form.</w:t>
            </w:r>
          </w:p>
        </w:tc>
        <w:tc>
          <w:tcPr>
            <w:tcW w:w="2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7C00D" w14:textId="77777777" w:rsidR="006A29BF" w:rsidRDefault="00D211EB">
            <w:pPr>
              <w:widowControl w:val="0"/>
              <w:spacing w:before="0" w:after="0" w:line="240" w:lineRule="auto"/>
            </w:pPr>
            <w:r>
              <w:t>Designated Safeguard Person</w:t>
            </w:r>
          </w:p>
        </w:tc>
      </w:tr>
    </w:tbl>
    <w:p w14:paraId="4717664F" w14:textId="11EEADFA" w:rsidR="006A29BF" w:rsidRDefault="00BD09A7">
      <w:r>
        <w:t>This template is a guideline. Some of these risks may not be applicable to your event or you may wish to add additional risks.</w:t>
      </w:r>
    </w:p>
    <w:p w14:paraId="0C9518E1" w14:textId="37320CA1" w:rsidR="00BD09A7" w:rsidRDefault="00BD09A7">
      <w:r>
        <w:t xml:space="preserve">TI Safeguarding Contact: Niamh O’ Gorman </w:t>
      </w:r>
      <w:r>
        <w:br/>
        <w:t xml:space="preserve">email: </w:t>
      </w:r>
      <w:hyperlink r:id="rId6" w:history="1">
        <w:r w:rsidRPr="005E78B3">
          <w:rPr>
            <w:rStyle w:val="Hyperlink"/>
          </w:rPr>
          <w:t>niamh@triathlonireland.com</w:t>
        </w:r>
      </w:hyperlink>
    </w:p>
    <w:p w14:paraId="5848C891" w14:textId="161B46BF" w:rsidR="00BD09A7" w:rsidRDefault="00BD09A7"/>
    <w:p w14:paraId="2F75C117" w14:textId="537D4F91" w:rsidR="00BD09A7" w:rsidRDefault="00BD09A7"/>
    <w:p w14:paraId="09626112" w14:textId="77777777" w:rsidR="00BD09A7" w:rsidRDefault="00BD09A7"/>
    <w:p w14:paraId="36E52719" w14:textId="77777777" w:rsidR="00BD09A7" w:rsidRPr="00BD09A7" w:rsidRDefault="00BD09A7"/>
    <w:sectPr w:rsidR="00BD09A7" w:rsidRPr="00BD09A7">
      <w:headerReference w:type="default" r:id="rId7"/>
      <w:footerReference w:type="default" r:id="rId8"/>
      <w:pgSz w:w="16838" w:h="11906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7F141" w14:textId="77777777" w:rsidR="00B56D81" w:rsidRDefault="00B56D81">
      <w:pPr>
        <w:spacing w:before="0" w:after="0" w:line="240" w:lineRule="auto"/>
      </w:pPr>
      <w:r>
        <w:separator/>
      </w:r>
    </w:p>
  </w:endnote>
  <w:endnote w:type="continuationSeparator" w:id="0">
    <w:p w14:paraId="1C0430F1" w14:textId="77777777" w:rsidR="00B56D81" w:rsidRDefault="00B56D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F38CF" w14:textId="404DD65A" w:rsidR="00BD09A7" w:rsidRPr="00BD09A7" w:rsidRDefault="00BD09A7">
    <w:pPr>
      <w:pStyle w:val="Footer"/>
    </w:pPr>
    <w:r>
      <w:t>March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7AE97" w14:textId="77777777" w:rsidR="00B56D81" w:rsidRDefault="00B56D81">
      <w:pPr>
        <w:spacing w:before="0" w:after="0" w:line="240" w:lineRule="auto"/>
      </w:pPr>
      <w:r>
        <w:separator/>
      </w:r>
    </w:p>
  </w:footnote>
  <w:footnote w:type="continuationSeparator" w:id="0">
    <w:p w14:paraId="55FACB90" w14:textId="77777777" w:rsidR="00B56D81" w:rsidRDefault="00B56D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74E22" w14:textId="77777777" w:rsidR="006A29BF" w:rsidRDefault="00D211EB">
    <w:pPr>
      <w:jc w:val="right"/>
    </w:pPr>
    <w:r>
      <w:rPr>
        <w:b/>
        <w:noProof/>
        <w:sz w:val="22"/>
        <w:szCs w:val="22"/>
      </w:rPr>
      <w:drawing>
        <wp:inline distT="114300" distB="114300" distL="114300" distR="114300" wp14:anchorId="008EB3F7" wp14:editId="7D9AAFD1">
          <wp:extent cx="1804988" cy="41101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4988" cy="4110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BF"/>
    <w:rsid w:val="006A29BF"/>
    <w:rsid w:val="00746929"/>
    <w:rsid w:val="00B56D81"/>
    <w:rsid w:val="00BD09A7"/>
    <w:rsid w:val="00D211EB"/>
    <w:rsid w:val="00D274D0"/>
    <w:rsid w:val="00DC3DC0"/>
    <w:rsid w:val="00E8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A604"/>
  <w15:docId w15:val="{25E72B11-D37A-4954-9553-DC15FC5F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before="480" w:after="0"/>
      <w:outlineLvl w:val="0"/>
    </w:pPr>
    <w:rPr>
      <w:b/>
      <w:smallCaps/>
      <w:color w:val="FFFFFF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/>
      <w:spacing w:before="360" w:after="0"/>
      <w:outlineLvl w:val="1"/>
    </w:pPr>
    <w:rPr>
      <w:b/>
      <w:smallCaps/>
      <w:color w:val="00B05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single" w:sz="6" w:space="2" w:color="4472C4"/>
      </w:pBdr>
      <w:spacing w:before="300" w:after="0"/>
      <w:outlineLvl w:val="2"/>
    </w:pPr>
    <w:rPr>
      <w:b/>
      <w:smallCaps/>
      <w:color w:val="00B05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dotted" w:sz="6" w:space="2" w:color="4472C4"/>
      </w:pBdr>
      <w:spacing w:before="200" w:after="0"/>
      <w:outlineLvl w:val="3"/>
    </w:pPr>
    <w:rPr>
      <w:b/>
      <w:smallCaps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bottom w:val="single" w:sz="6" w:space="1" w:color="4472C4"/>
      </w:pBdr>
      <w:spacing w:before="200" w:after="0"/>
      <w:outlineLvl w:val="4"/>
    </w:pPr>
    <w:rPr>
      <w:b/>
      <w:smallCaps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bottom w:val="dotted" w:sz="6" w:space="1" w:color="4472C4"/>
      </w:pBdr>
      <w:spacing w:before="200" w:after="0"/>
      <w:outlineLvl w:val="5"/>
    </w:pPr>
    <w:rPr>
      <w:b/>
      <w:smallCap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0" w:after="0"/>
    </w:pPr>
    <w:rPr>
      <w:b/>
      <w:smallCaps/>
      <w:color w:val="4472C4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0" w:after="500" w:line="240" w:lineRule="auto"/>
    </w:pPr>
    <w:rPr>
      <w:rFonts w:ascii="Georgia" w:eastAsia="Georgia" w:hAnsi="Georgia" w:cs="Georgia"/>
      <w:i/>
      <w:smallCaps/>
      <w:color w:val="595959"/>
      <w:sz w:val="21"/>
      <w:szCs w:val="21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D09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9A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D09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9A7"/>
  </w:style>
  <w:style w:type="paragraph" w:styleId="Footer">
    <w:name w:val="footer"/>
    <w:basedOn w:val="Normal"/>
    <w:link w:val="FooterChar"/>
    <w:uiPriority w:val="99"/>
    <w:unhideWhenUsed/>
    <w:rsid w:val="00BD09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9A7"/>
  </w:style>
  <w:style w:type="paragraph" w:styleId="BalloonText">
    <w:name w:val="Balloon Text"/>
    <w:basedOn w:val="Normal"/>
    <w:link w:val="BalloonTextChar"/>
    <w:uiPriority w:val="99"/>
    <w:semiHidden/>
    <w:unhideWhenUsed/>
    <w:rsid w:val="00D274D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amh@triathlonirelan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Niamh</dc:creator>
  <cp:lastModifiedBy>Niamh</cp:lastModifiedBy>
  <cp:revision>2</cp:revision>
  <cp:lastPrinted>2019-03-11T12:12:00Z</cp:lastPrinted>
  <dcterms:created xsi:type="dcterms:W3CDTF">2019-04-03T06:39:00Z</dcterms:created>
  <dcterms:modified xsi:type="dcterms:W3CDTF">2019-04-03T06:39:00Z</dcterms:modified>
</cp:coreProperties>
</file>